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7</w:t>
      </w:r>
      <w:r>
        <w:rPr>
          <w:rFonts w:eastAsia="Calibri" w:cs="Times New Roman" w:ascii="Times New Roman" w:hAnsi="Times New Roman"/>
          <w:sz w:val="24"/>
          <w:szCs w:val="24"/>
        </w:rPr>
        <w:t>5 от «</w:t>
      </w:r>
      <w:r>
        <w:rPr>
          <w:rFonts w:eastAsia="Calibri" w:cs="Times New Roman" w:ascii="Times New Roman" w:hAnsi="Times New Roman"/>
          <w:sz w:val="24"/>
          <w:szCs w:val="24"/>
        </w:rPr>
        <w:t>20</w:t>
      </w:r>
      <w:r>
        <w:rPr>
          <w:rFonts w:eastAsia="Calibri" w:cs="Times New Roman" w:ascii="Times New Roman" w:hAnsi="Times New Roman"/>
          <w:sz w:val="24"/>
          <w:szCs w:val="24"/>
        </w:rPr>
        <w:t xml:space="preserve">» </w:t>
      </w:r>
      <w:r>
        <w:rPr>
          <w:rFonts w:eastAsia="Calibri" w:cs="Times New Roman" w:ascii="Times New Roman" w:hAnsi="Times New Roman"/>
          <w:sz w:val="24"/>
          <w:szCs w:val="24"/>
        </w:rPr>
        <w:t>мая</w:t>
      </w:r>
      <w:r>
        <w:rPr>
          <w:rFonts w:eastAsia="Calibri"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 xml:space="preserve">ПРЕДВАРИТЕЛЬНОГО ОТБОРА </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ПО.в.26.</w:t>
      </w:r>
      <w:r>
        <w:rPr>
          <w:rFonts w:eastAsia="Times New Roman" w:cs="Times New Roman" w:ascii="Times New Roman" w:hAnsi="Times New Roman"/>
          <w:b/>
          <w:sz w:val="28"/>
          <w:szCs w:val="28"/>
          <w:lang w:eastAsia="ru-RU"/>
        </w:rPr>
        <w:t>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cs="Times New Roman"/>
          <w:sz w:val="28"/>
          <w:szCs w:val="28"/>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ремонту, замене, модернизации лифтов, ремонту лифтовых шахт, машинных и блочных помещений.</w:t>
      </w:r>
    </w:p>
    <w:p>
      <w:pPr>
        <w:pStyle w:val="Normal"/>
        <w:spacing w:lineRule="auto" w:line="240" w:before="0" w:after="0"/>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ListParagraph"/>
        <w:numPr>
          <w:ilvl w:val="0"/>
          <w:numId w:val="12"/>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i/>
          <w:i/>
          <w:sz w:val="24"/>
          <w:szCs w:val="24"/>
          <w:u w:val="single"/>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ПО.в.26.</w:t>
      </w:r>
      <w:r>
        <w:rPr>
          <w:rFonts w:ascii="Times New Roman" w:hAnsi="Times New Roman"/>
          <w:b/>
          <w:bCs/>
          <w:sz w:val="24"/>
          <w:szCs w:val="28"/>
        </w:rPr>
        <w:t>2</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оказание услуг и (или) выполнение работ по ремонту, замене, модернизации лифтов, ремонту лифтовых шахт, машинных и блочных помещений</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eastAsia="Calibri" w:cs="Times New Roman" w:ascii="Times New Roman" w:hAnsi="Times New Roman"/>
          <w:bCs/>
          <w:sz w:val="24"/>
          <w:u w:val="single"/>
          <w:lang w:val="en-US"/>
        </w:rPr>
        <w:t>dgkh</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ivreg</w:t>
      </w:r>
      <w:r>
        <w:rPr>
          <w:rFonts w:eastAsia="Calibri" w:cs="Times New Roman" w:ascii="Times New Roman" w:hAnsi="Times New Roman"/>
          <w:bCs/>
          <w:sz w:val="24"/>
          <w:u w:val="single"/>
        </w:rPr>
        <w:t>.</w:t>
      </w:r>
      <w:r>
        <w:rPr>
          <w:rFonts w:eastAsia="Calibri"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Pr>
          <w:rFonts w:ascii="Times New Roman" w:hAnsi="Times New Roman"/>
          <w:bCs/>
          <w:sz w:val="24"/>
        </w:rPr>
        <w:t>«</w:t>
      </w:r>
      <w:r>
        <w:rPr>
          <w:rFonts w:ascii="Times New Roman" w:hAnsi="Times New Roman"/>
          <w:bCs/>
          <w:sz w:val="24"/>
        </w:rPr>
        <w:t>22</w:t>
      </w:r>
      <w:r>
        <w:rPr>
          <w:rFonts w:ascii="Times New Roman" w:hAnsi="Times New Roman"/>
          <w:bCs/>
          <w:sz w:val="24"/>
        </w:rPr>
        <w:t xml:space="preserve">» </w:t>
      </w:r>
      <w:r>
        <w:rPr>
          <w:rFonts w:ascii="Times New Roman" w:hAnsi="Times New Roman"/>
          <w:bCs/>
          <w:sz w:val="24"/>
        </w:rPr>
        <w:t>мая</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«1</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июня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13"/>
        </w:numPr>
        <w:tabs>
          <w:tab w:val="clear" w:pos="708"/>
          <w:tab w:val="left" w:pos="284" w:leader="none"/>
        </w:tabs>
        <w:ind w:hanging="0" w:left="0"/>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ремонту, замене, модернизации лифтов, ремонту лифтовых шахт, машинных и блочных помещений</w:t>
      </w:r>
    </w:p>
    <w:p>
      <w:pPr>
        <w:pStyle w:val="ListParagraph"/>
        <w:tabs>
          <w:tab w:val="clear" w:pos="708"/>
          <w:tab w:val="left" w:pos="284" w:leader="none"/>
        </w:tabs>
        <w:spacing w:lineRule="auto" w:line="240" w:before="0" w:after="0"/>
        <w:ind w:left="0"/>
        <w:contextualSpacing w:val="false"/>
        <w:rPr>
          <w:rFonts w:ascii="Times New Roman" w:hAnsi="Times New Roman" w:cs="Times New Roman"/>
          <w:b/>
          <w:sz w:val="28"/>
          <w:szCs w:val="28"/>
        </w:rPr>
      </w:pPr>
      <w:r>
        <w:rPr>
          <w:rFonts w:cs="Times New Roman" w:ascii="Times New Roman" w:hAnsi="Times New Roman"/>
          <w:b/>
          <w:sz w:val="28"/>
          <w:szCs w:val="28"/>
        </w:rPr>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9"/>
        <w:gridCol w:w="3071"/>
        <w:gridCol w:w="6144"/>
      </w:tblGrid>
      <w:tr>
        <w:trPr>
          <w:tblHeader w:val="true"/>
          <w:trHeight w:val="458" w:hRule="atLeast"/>
        </w:trPr>
        <w:tc>
          <w:tcPr>
            <w:tcW w:w="709"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1"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9"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1"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both"/>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Требования к </w:t>
            </w:r>
            <w:r>
              <w:rPr>
                <w:rFonts w:cs="Times New Roman" w:ascii="Times New Roman" w:hAnsi="Times New Roman"/>
                <w:sz w:val="24"/>
                <w:szCs w:val="24"/>
              </w:rPr>
              <w:t xml:space="preserve">оказанию услуг и (или) выполнению работ по ремонту, замене, модернизации лифтов, ремонту лифтовых шахт, машинных и блочных помещений </w:t>
            </w:r>
            <w:r>
              <w:rPr>
                <w:rFonts w:eastAsia="Times New Roman" w:cs="Times New Roman" w:ascii="Times New Roman" w:hAnsi="Times New Roman"/>
                <w:sz w:val="24"/>
                <w:szCs w:val="24"/>
                <w:lang w:eastAsia="ru-RU"/>
              </w:rPr>
              <w:t>по предмету предварительного отбора подрядных организаций  «Оказание услуг и (или) выполнение работ по ремонту, замене, модернизации лифтов, ремонту лифтовых шахт, машинных и блочных помещений»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Проведение полного технического освидетельствования.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Декларирование и соответствие смонтированного лифтового оборудования требованиям ТР ТС «Безопасность лифтов».</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Последующее аварийно-техническое обслуживание и текущий ремонт в течение одного календарного месяца, в соответствии с требованиями ТР ТС 011/2011 и Положением о порядке организации эксплуатации лифтов в РФ.</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Осуществлять фото фиксацию скрытых работ, основных этапов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демонтированного оборудования производить за счет Подрядчика.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Запрещена одновременная остановка двух лифтов в одном подъезде.</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При производстве работ Подрядчик должен использовать оборудование и материалы, имеющие сертификаты качества. Качество используемых материалов должно соответствовать действующим ГОСТ, ТУ, ТР.</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4"/>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Normal"/>
        <w:rPr>
          <w:rStyle w:val="Style15"/>
          <w:rFonts w:ascii="Times New Roman" w:hAnsi="Times New Roman" w:cs="Times New Roman"/>
          <w:b/>
          <w:sz w:val="28"/>
          <w:szCs w:val="28"/>
        </w:rPr>
      </w:pPr>
      <w:r>
        <w:rPr>
          <w:rFonts w:cs="Times New Roman" w:ascii="Times New Roman" w:hAnsi="Times New Roman"/>
          <w:b/>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r>
          </w:p>
        </w:tc>
        <w:tc>
          <w:tcPr>
            <w:tcW w:w="2410"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tabs>
                <w:tab w:val="clear" w:pos="708"/>
                <w:tab w:val="left" w:pos="3060" w:leader="none"/>
              </w:tabs>
              <w:spacing w:lineRule="auto" w:line="240" w:before="0" w:after="0"/>
              <w:ind w:right="2"/>
              <w:jc w:val="both"/>
              <w:rPr>
                <w:rFonts w:ascii="Times New Roman" w:hAnsi="Times New Roman" w:eastAsia="Times New Roman" w:cs="Times New Roman"/>
                <w:bCs/>
                <w:i/>
                <w:i/>
                <w:sz w:val="24"/>
                <w:szCs w:val="24"/>
                <w:u w:val="single"/>
                <w:lang w:eastAsia="ru-RU"/>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Fonts w:eastAsia="Calibri" w:cs="Times New Roman" w:ascii="Times New Roman" w:hAnsi="Times New Roman"/>
                <w:i/>
                <w:kern w:val="0"/>
                <w:sz w:val="24"/>
                <w:szCs w:val="24"/>
                <w:u w:val="single"/>
                <w:lang w:val="ru-RU" w:eastAsia="en-US" w:bidi="ar-SA"/>
              </w:rPr>
              <w:t xml:space="preserve"> оказание услуг и (или) выполнение работ по ремонту, замене, модернизации лифтов, ремонту лифтовых шахт, машинных и блочных помещений.</w:t>
            </w:r>
          </w:p>
          <w:p>
            <w:pPr>
              <w:pStyle w:val="Normal"/>
              <w:widowControl/>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http://www.kaprem37.ru/ в разделе - «Региональная программа».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numPr>
                <w:ilvl w:val="0"/>
                <w:numId w:val="2"/>
              </w:numPr>
              <w:tabs>
                <w:tab w:val="clear" w:pos="708"/>
                <w:tab w:val="left" w:pos="450" w:leader="none"/>
              </w:tabs>
              <w:spacing w:lineRule="auto" w:line="240" w:before="0" w:after="0"/>
              <w:ind w:hanging="0" w:left="5"/>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Определяется по итогам проведения электронного аукциона.</w:t>
            </w:r>
          </w:p>
          <w:p>
            <w:pPr>
              <w:pStyle w:val="ListParagraph"/>
              <w:widowControl/>
              <w:numPr>
                <w:ilvl w:val="0"/>
                <w:numId w:val="2"/>
              </w:numPr>
              <w:tabs>
                <w:tab w:val="clear" w:pos="708"/>
                <w:tab w:val="left" w:pos="450" w:leader="none"/>
              </w:tabs>
              <w:spacing w:lineRule="auto" w:line="240" w:before="0" w:after="0"/>
              <w:ind w:hanging="0" w:left="5"/>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numPr>
                <w:ilvl w:val="0"/>
                <w:numId w:val="2"/>
              </w:numPr>
              <w:tabs>
                <w:tab w:val="clear" w:pos="708"/>
                <w:tab w:val="left" w:pos="450" w:leader="none"/>
              </w:tabs>
              <w:spacing w:lineRule="auto" w:line="240" w:before="0" w:after="0"/>
              <w:ind w:hanging="0" w:left="5"/>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numPr>
                <w:ilvl w:val="0"/>
                <w:numId w:val="2"/>
              </w:numPr>
              <w:tabs>
                <w:tab w:val="clear" w:pos="708"/>
                <w:tab w:val="left" w:pos="450" w:leader="none"/>
              </w:tabs>
              <w:spacing w:lineRule="auto" w:line="240" w:before="0" w:after="0"/>
              <w:ind w:hanging="0" w:left="5"/>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 и (или)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услуг и (или) работ по договору устанавливаются Заказчиком в документации о проведении электронного аукциона. При любом установленном договором порядке окончательная оплата услуг и (или) работ по договору производится за фактически выполненные услуги и (или)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w:t>
            </w:r>
            <w:r>
              <w:rPr>
                <w:rFonts w:eastAsia="Calibri" w:cs="Times New Roman" w:ascii="Times New Roman" w:hAnsi="Times New Roman"/>
                <w:kern w:val="0"/>
                <w:sz w:val="24"/>
                <w:szCs w:val="24"/>
                <w:lang w:val="ru-RU" w:eastAsia="en-US" w:bidi="ar-SA"/>
              </w:rPr>
              <w:t>оказанных услуг и (или) выполненных работ.</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w:t>
            </w:r>
          </w:p>
        </w:tc>
        <w:tc>
          <w:tcPr>
            <w:tcW w:w="7371" w:type="dxa"/>
            <w:tcBorders/>
          </w:tcPr>
          <w:p>
            <w:pPr>
              <w:pStyle w:val="Normal"/>
              <w:widowControl/>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 и (или) выполненных работ</w:t>
            </w:r>
          </w:p>
        </w:tc>
        <w:tc>
          <w:tcPr>
            <w:tcW w:w="7371" w:type="dxa"/>
            <w:tcBorders/>
          </w:tcPr>
          <w:p>
            <w:pPr>
              <w:pStyle w:val="ConsPlusNormal1"/>
              <w:spacing w:before="0" w:after="0"/>
              <w:jc w:val="both"/>
              <w:rPr>
                <w:kern w:val="0"/>
                <w:lang w:val="ru-RU" w:bidi="ar-SA"/>
              </w:rPr>
            </w:pPr>
            <w:r>
              <w:rPr>
                <w:rStyle w:val="Style15"/>
                <w:rFonts w:cs="Times New Roman" w:ascii="Times New Roman" w:hAnsi="Times New Roman"/>
                <w:kern w:val="0"/>
                <w:sz w:val="24"/>
                <w:szCs w:val="24"/>
                <w:lang w:val="ru-RU" w:bidi="ar-SA"/>
              </w:rPr>
              <w:t>1. Порядок и сроки приемки оказанных услуг и (или) выполненных работ устанавливаются Заказчиком в документации о проведении электронного аукциона.</w:t>
            </w:r>
          </w:p>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2. Для проверки соответствия качества и объемов оказанных услуг и (или) выполненных работ, установленных договором, Заказчик вправе привлекать независимых экспертов.</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sz w:val="24"/>
                <w:szCs w:val="24"/>
                <w:u w:val="single"/>
                <w:lang w:val="ru-RU" w:bidi="ar-SA"/>
              </w:rPr>
              <w:t xml:space="preserve"> Ивановской области.</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shd w:val="clear" w:color="auto" w:fill="FFFFFF" w:themeFill="background1"/>
              <w:tabs>
                <w:tab w:val="clear" w:pos="708"/>
                <w:tab w:val="left" w:pos="541" w:leader="none"/>
              </w:tabs>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Normal"/>
              <w:widowControl/>
              <w:tabs>
                <w:tab w:val="clear" w:pos="708"/>
                <w:tab w:val="left" w:pos="541" w:leader="none"/>
              </w:tabs>
              <w:spacing w:lineRule="auto" w:line="240" w:before="0" w:after="0"/>
              <w:jc w:val="both"/>
              <w:rPr>
                <w:rFonts w:ascii="Times New Roman" w:hAnsi="Times New Roman" w:eastAsia="Times New Roman" w:cs="Times New Roman"/>
                <w:sz w:val="24"/>
                <w:szCs w:val="24"/>
                <w:lang w:eastAsia="ru-RU"/>
              </w:rPr>
            </w:pPr>
            <w:r>
              <w:rPr>
                <w:rFonts w:eastAsia="Calibri" w:cs="Times New Roman" w:ascii="Times New Roman" w:hAnsi="Times New Roman"/>
                <w:kern w:val="0"/>
                <w:sz w:val="24"/>
                <w:szCs w:val="24"/>
                <w:lang w:val="ru-RU" w:eastAsia="en-US" w:bidi="ar-SA"/>
              </w:rPr>
              <w:t xml:space="preserve">4. </w:t>
            </w:r>
            <w:r>
              <w:rPr>
                <w:rFonts w:eastAsia="Times New Roman" w:cs="Times New Roman" w:ascii="Times New Roman" w:hAnsi="Times New Roman"/>
                <w:kern w:val="0"/>
                <w:sz w:val="24"/>
                <w:szCs w:val="24"/>
                <w:lang w:val="ru-RU" w:eastAsia="ru-RU" w:bidi="ar-SA"/>
              </w:rPr>
              <w:t>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pacing w:before="0" w:after="0"/>
              <w:ind w:firstLine="5"/>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 xml:space="preserve">б) </w:t>
            </w:r>
            <w:r>
              <w:rPr>
                <w:rFonts w:eastAsia="Calibri" w:cs="Times New Roman" w:ascii="Times New Roman" w:hAnsi="Times New Roman"/>
                <w:kern w:val="0"/>
                <w:sz w:val="24"/>
                <w:szCs w:val="24"/>
                <w:lang w:val="ru-RU" w:eastAsia="en-US" w:bidi="ar-SA"/>
              </w:rPr>
              <w:t>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spacing w:before="0" w:after="0"/>
              <w:ind w:firstLine="5"/>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pacing w:before="0" w:after="0"/>
              <w:ind w:left="1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spacing w:before="0" w:after="0"/>
              <w:ind w:left="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исполнителя</w:t>
            </w:r>
          </w:p>
        </w:tc>
        <w:tc>
          <w:tcPr>
            <w:tcW w:w="7371" w:type="dxa"/>
            <w:tcBorders/>
          </w:tcPr>
          <w:p>
            <w:pPr>
              <w:pStyle w:val="ConsPlusNormal1"/>
              <w:tabs>
                <w:tab w:val="clear" w:pos="708"/>
                <w:tab w:val="left" w:pos="600" w:leader="none"/>
              </w:tabs>
              <w:spacing w:before="0" w:after="0"/>
              <w:ind w:firstLine="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pacing w:before="0" w:after="0"/>
              <w:ind w:left="38"/>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10"/>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ascii="Arial" w:hAnsi="Arial" w:cs="Times New Roman"/>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10"/>
        </w:numPr>
        <w:tabs>
          <w:tab w:val="clear" w:pos="708"/>
          <w:tab w:val="left" w:pos="284" w:leader="none"/>
        </w:tabs>
        <w:spacing w:lineRule="auto" w:line="240" w:before="0" w:after="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ремонту, замене, модернизации лифтов, ремонту лифтовых шахт, машинных и блочных помещений,</w:t>
      </w:r>
      <w:r>
        <w:rPr>
          <w:rFonts w:cs="Times New Roman" w:ascii="Times New Roman" w:hAnsi="Times New Roman"/>
          <w:sz w:val="28"/>
          <w:szCs w:val="28"/>
        </w:rPr>
        <w:t xml:space="preserve"> устанавливаются следующие требования к его участникам (далее – Участник):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7"/>
        <w:gridCol w:w="2126"/>
        <w:gridCol w:w="1841"/>
        <w:gridCol w:w="2408"/>
        <w:gridCol w:w="1558"/>
      </w:tblGrid>
      <w:tr>
        <w:trPr>
          <w:trHeight w:val="9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 xml:space="preserve">№ </w:t>
            </w:r>
            <w:r>
              <w:rPr>
                <w:rFonts w:eastAsia="Calibri" w:ascii="Times New Roman" w:hAnsi="Times New Roman"/>
                <w:b/>
                <w:sz w:val="20"/>
                <w:szCs w:val="20"/>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ascii="Times New Roman" w:hAnsi="Times New Roman"/>
                <w:b/>
                <w:sz w:val="20"/>
                <w:szCs w:val="20"/>
              </w:rPr>
              <w:t>Количество человек, не менее</w:t>
            </w:r>
          </w:p>
        </w:tc>
      </w:tr>
      <w:tr>
        <w:trPr>
          <w:trHeight w:val="1606"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1*</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1</w:t>
            </w:r>
          </w:p>
        </w:tc>
      </w:tr>
      <w:tr>
        <w:trPr>
          <w:trHeight w:val="2111" w:hRule="atLeast"/>
        </w:trPr>
        <w:tc>
          <w:tcPr>
            <w:tcW w:w="70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sz w:val="20"/>
                <w:szCs w:val="20"/>
              </w:rPr>
            </w:pPr>
            <w:r>
              <w:rPr>
                <w:rFonts w:eastAsia="Calibri"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sz w:val="20"/>
                <w:szCs w:val="20"/>
              </w:rPr>
            </w:pPr>
            <w:r>
              <w:rPr>
                <w:rFonts w:eastAsia="Calibri" w:ascii="Times New Roman" w:hAnsi="Times New Roman"/>
                <w:sz w:val="20"/>
                <w:szCs w:val="20"/>
              </w:rPr>
              <w:t>3</w:t>
            </w:r>
          </w:p>
          <w:p>
            <w:pPr>
              <w:pStyle w:val="Normal"/>
              <w:spacing w:lineRule="auto" w:line="276" w:before="0" w:after="160"/>
              <w:jc w:val="center"/>
              <w:rPr>
                <w:rFonts w:ascii="Times New Roman" w:hAnsi="Times New Roman" w:eastAsia="Calibri" w:cs="Times New Roman"/>
                <w:sz w:val="20"/>
                <w:szCs w:val="20"/>
              </w:rPr>
            </w:pPr>
            <w:r>
              <w:rPr>
                <w:rFonts w:eastAsia="Calibri" w:ascii="Times New Roman" w:hAnsi="Times New Roman"/>
                <w:sz w:val="20"/>
                <w:szCs w:val="20"/>
              </w:rPr>
              <w:t>по основному месту работы</w:t>
            </w:r>
          </w:p>
        </w:tc>
      </w:tr>
    </w:tbl>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i/>
          <w:i/>
          <w:sz w:val="18"/>
          <w:szCs w:val="18"/>
          <w:lang w:eastAsia="ru-RU"/>
        </w:rPr>
      </w:pPr>
      <w:r>
        <w:rPr>
          <w:rFonts w:eastAsia="Times New Roman" w:cs="Times New Roman" w:ascii="Times New Roman" w:hAnsi="Times New Roman"/>
          <w:i/>
          <w:sz w:val="18"/>
          <w:szCs w:val="18"/>
          <w:lang w:eastAsia="ru-RU"/>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color w:themeColor="text1" w:val="000000"/>
          <w:sz w:val="28"/>
          <w:szCs w:val="28"/>
        </w:rPr>
      </w:pPr>
      <w:r>
        <w:rPr>
          <w:rFonts w:eastAsia="Calibri" w:cs="Times New Roman" w:ascii="Times New Roman" w:hAnsi="Times New Roman"/>
          <w:color w:themeColor="text1" w:val="000000"/>
          <w:sz w:val="28"/>
          <w:szCs w:val="28"/>
        </w:rPr>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ремонт (замена, модернизация) лифтов,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90 000 000 (шестьдесят миллионов) рублей (первый уровень ответственности);</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(шестидесяти миллионов) рублей, но не превышает 500 000 000 (пятьсот миллионов) рублей (второй уровень ответственности);</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н) наличие в штате участника предварительного отбора по месту основной работы не менее одного работника, ответственного за организацию производства работ по монтажу и пусконаладке технических устройств (систем вертикального транспорта) - лифтов, платформ подъемных для инвалидов, эскалаторов, пассажирских конвейеров, уровень квалификации которого соответствует уровню, установленному соответствующим профессиональным стандартом,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о)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10"/>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numPr>
          <w:ilvl w:val="0"/>
          <w:numId w:val="3"/>
        </w:numPr>
        <w:tabs>
          <w:tab w:val="clear" w:pos="708"/>
          <w:tab w:val="left" w:pos="993" w:leader="none"/>
        </w:tabs>
        <w:spacing w:lineRule="auto" w:line="240" w:before="0" w:after="0"/>
        <w:ind w:firstLine="709" w:left="0"/>
        <w:contextualSpacing/>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Normal"/>
        <w:numPr>
          <w:ilvl w:val="0"/>
          <w:numId w:val="3"/>
        </w:numPr>
        <w:tabs>
          <w:tab w:val="clear" w:pos="708"/>
          <w:tab w:val="left" w:pos="993" w:leader="none"/>
        </w:tabs>
        <w:spacing w:lineRule="auto" w:line="240" w:before="0" w:after="0"/>
        <w:ind w:firstLine="709" w:left="0"/>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Normal"/>
        <w:numPr>
          <w:ilvl w:val="0"/>
          <w:numId w:val="3"/>
        </w:numPr>
        <w:tabs>
          <w:tab w:val="clear" w:pos="708"/>
          <w:tab w:val="left" w:pos="993" w:leader="none"/>
        </w:tabs>
        <w:spacing w:lineRule="auto" w:line="240" w:before="0" w:after="0"/>
        <w:ind w:firstLine="709" w:left="0"/>
        <w:jc w:val="both"/>
        <w:rPr>
          <w:rFonts w:ascii="Times New Roman" w:hAnsi="Times New Roman" w:eastAsia="Calibri" w:cs="Times New Roman"/>
          <w:sz w:val="28"/>
          <w:szCs w:val="28"/>
        </w:rPr>
      </w:pPr>
      <w:r>
        <w:rPr>
          <w:rFonts w:eastAsia="Calibri"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numPr>
          <w:ilvl w:val="0"/>
          <w:numId w:val="3"/>
        </w:numPr>
        <w:tabs>
          <w:tab w:val="clear" w:pos="708"/>
          <w:tab w:val="left" w:pos="993" w:leader="none"/>
        </w:tabs>
        <w:spacing w:lineRule="auto" w:line="240" w:before="0" w:after="0"/>
        <w:ind w:firstLine="709" w:left="0"/>
        <w:jc w:val="both"/>
        <w:rPr>
          <w:rFonts w:ascii="Times New Roman" w:hAnsi="Times New Roman" w:eastAsia="Calibri" w:cs="Times New Roman"/>
          <w:sz w:val="28"/>
          <w:szCs w:val="28"/>
        </w:rPr>
      </w:pPr>
      <w:r>
        <w:rPr>
          <w:rFonts w:eastAsia="Calibri"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б)</w:t>
      </w:r>
      <w:r>
        <w:rPr>
          <w:rFonts w:eastAsia="Calibri" w:cs="Times New Roman"/>
        </w:rPr>
        <w:t xml:space="preserve"> </w:t>
      </w:r>
      <w:r>
        <w:rPr>
          <w:rFonts w:eastAsia="Calibri"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копии документов, подтверждающих соответствие уровня квалификации работника, указанного в подпункте «р» пункта 23 Положения, уровню, установленному соответствующим профессиональным стандартом,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Normal"/>
        <w:spacing w:lineRule="auto" w:line="240" w:before="0" w:after="0"/>
        <w:ind w:firstLine="709"/>
        <w:jc w:val="both"/>
        <w:rPr>
          <w:rFonts w:ascii="Times New Roman" w:hAnsi="Times New Roman" w:eastAsia="Calibri" w:cs="Times New Roman"/>
          <w:i/>
          <w:i/>
          <w:sz w:val="28"/>
          <w:szCs w:val="28"/>
        </w:rPr>
      </w:pPr>
      <w:r>
        <w:rPr>
          <w:rFonts w:eastAsia="Calibri"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10"/>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4"/>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4"/>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4"/>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ПО.в.26.</w:t>
      </w:r>
      <w:r>
        <w:rPr>
          <w:rFonts w:eastAsia="Times New Roman" w:cs="Times New Roman" w:ascii="Times New Roman" w:hAnsi="Times New Roman"/>
          <w:b/>
          <w:sz w:val="28"/>
          <w:szCs w:val="28"/>
          <w:lang w:eastAsia="ru-RU"/>
        </w:rPr>
        <w:t>2</w:t>
      </w:r>
      <w:r>
        <w:rPr>
          <w:rFonts w:eastAsia="Times New Roman" w:cs="Times New Roman" w:ascii="Times New Roman" w:hAnsi="Times New Roman"/>
          <w:b/>
          <w:sz w:val="28"/>
          <w:szCs w:val="28"/>
          <w:lang w:eastAsia="ru-RU"/>
        </w:rPr>
        <w:t xml:space="preserve"> от </w:t>
      </w:r>
      <w:r>
        <w:rPr>
          <w:rFonts w:eastAsia="Times New Roman" w:cs="Times New Roman" w:ascii="Times New Roman" w:hAnsi="Times New Roman"/>
          <w:b/>
          <w:sz w:val="28"/>
          <w:szCs w:val="28"/>
          <w:lang w:eastAsia="ru-RU"/>
        </w:rPr>
        <w:t>21</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4"/>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1134" w:leader="none"/>
        </w:tabs>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10"/>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отозвать.</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может быть отозвана до даты и времени окончания срока подачи Заявок, указанных в Извещении и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Уведомление об отзыве Заявки должно быть подписано усиленной неквалифицированной электронной подписью Участника.</w:t>
      </w:r>
    </w:p>
    <w:p>
      <w:pPr>
        <w:pStyle w:val="Normal"/>
        <w:widowControl w:val="false"/>
        <w:numPr>
          <w:ilvl w:val="0"/>
          <w:numId w:val="5"/>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0"/>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4</w:t>
      </w:r>
      <w:r>
        <w:rPr>
          <w:rFonts w:cs="Times New Roman" w:ascii="Times New Roman" w:hAnsi="Times New Roman"/>
          <w:b/>
          <w:sz w:val="28"/>
          <w:szCs w:val="28"/>
        </w:rPr>
        <w:t xml:space="preserve"> </w:t>
      </w:r>
      <w:r>
        <w:rPr>
          <w:rFonts w:cs="Times New Roman" w:ascii="Times New Roman" w:hAnsi="Times New Roman"/>
          <w:b/>
          <w:sz w:val="28"/>
          <w:szCs w:val="28"/>
        </w:rPr>
        <w:t>июня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10"/>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и Участников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7"/>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7"/>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    </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7"/>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___________</w:t>
      </w:r>
      <w:r>
        <w:rPr>
          <w:rFonts w:cs="Times New Roman" w:ascii="Times New Roman" w:hAnsi="Times New Roman"/>
          <w:b/>
          <w:sz w:val="24"/>
          <w:szCs w:val="24"/>
        </w:rPr>
        <w:t xml:space="preserve"> 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w:t>
      </w:r>
      <w:r>
        <w:rPr>
          <w:rFonts w:cs="Times New Roman" w:ascii="Times New Roman" w:hAnsi="Times New Roman"/>
          <w:sz w:val="24"/>
          <w:szCs w:val="24"/>
          <w:u w:val="single"/>
        </w:rPr>
        <w:t xml:space="preserve">)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tru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9"/>
        <w:gridCol w:w="2156"/>
        <w:gridCol w:w="1700"/>
        <w:gridCol w:w="1418"/>
        <w:gridCol w:w="1730"/>
        <w:gridCol w:w="2522"/>
      </w:tblGrid>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9"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6"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2"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9"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6"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2"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Pr>
          <w:rFonts w:eastAsia="Times New Roman" w:cs="Times New Roman" w:ascii="Times New Roman" w:hAnsi="Times New Roman"/>
          <w:i/>
          <w:sz w:val="24"/>
          <w:szCs w:val="24"/>
        </w:rPr>
        <w:t>трудовых книжках, дипломах, трудовых договорах</w:t>
      </w:r>
      <w:r>
        <w:rPr>
          <w:rFonts w:cs="Times New Roman" w:ascii="Times New Roman" w:hAnsi="Times New Roman"/>
          <w:i/>
          <w:sz w:val="24"/>
          <w:szCs w:val="24"/>
        </w:rPr>
        <w:t>);</w:t>
      </w:r>
    </w:p>
    <w:p>
      <w:pPr>
        <w:pStyle w:val="ConsPlusNormal1"/>
        <w:ind w:left="-426"/>
        <w:jc w:val="both"/>
        <w:rPr>
          <w:rFonts w:ascii="Times New Roman" w:hAnsi="Times New Roman" w:cs="Times New Roman"/>
          <w:i/>
          <w:i/>
          <w:sz w:val="28"/>
          <w:szCs w:val="28"/>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7">
    <w:lvl w:ilvl="0">
      <w:start w:val="1"/>
      <w:numFmt w:val="decimal"/>
      <w:lvlText w:val="%1."/>
      <w:lvlJc w:val="left"/>
      <w:pPr>
        <w:tabs>
          <w:tab w:val="num" w:pos="0"/>
        </w:tabs>
        <w:ind w:left="3192" w:hanging="360"/>
      </w:pPr>
      <w:rPr/>
    </w:lvl>
    <w:lvl w:ilvl="1">
      <w:start w:val="1"/>
      <w:numFmt w:val="decimal"/>
      <w:lvlText w:val="%1.%2."/>
      <w:lvlJc w:val="left"/>
      <w:pPr>
        <w:tabs>
          <w:tab w:val="num" w:pos="0"/>
        </w:tabs>
        <w:ind w:left="3624"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8">
    <w:lvl w:ilvl="0">
      <w:start w:val="1"/>
      <w:numFmt w:val="upperRoman"/>
      <w:lvlText w:val="%1."/>
      <w:lvlJc w:val="left"/>
      <w:pPr>
        <w:tabs>
          <w:tab w:val="num" w:pos="0"/>
        </w:tabs>
        <w:ind w:left="738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upperRoman"/>
      <w:lvlText w:val="%1."/>
      <w:lvlJc w:val="left"/>
      <w:pPr>
        <w:tabs>
          <w:tab w:val="num" w:pos="0"/>
        </w:tabs>
        <w:ind w:left="738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4"/>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9"/>
    <w:lvlOverride w:ilvl="0">
      <w:startOverride w:val="1"/>
    </w:lvlOverride>
  </w:num>
  <w:num w:numId="13">
    <w:abstractNumId w:val="9"/>
  </w:num>
  <w:num w:numId="14">
    <w:abstractNumId w:val="9"/>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2b25d3"/>
    <w:rPr/>
  </w:style>
  <w:style w:type="character" w:styleId="ConsPlusNormal" w:customStyle="1">
    <w:name w:val="ConsPlusNormal Знак"/>
    <w:basedOn w:val="DefaultParagraphFont"/>
    <w:link w:val="ConsPlusNormal1"/>
    <w:qFormat/>
    <w:locked/>
    <w:rsid w:val="002b25d3"/>
    <w:rPr>
      <w:rFonts w:ascii="Arial" w:hAnsi="Arial" w:eastAsia="" w:cs="Arial" w:eastAsiaTheme="minorEastAsia"/>
      <w:sz w:val="20"/>
      <w:szCs w:val="20"/>
      <w:lang w:eastAsia="ru-RU"/>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bidi w:val="0"/>
      <w:spacing w:lineRule="auto" w:line="240" w:before="0" w:after="0"/>
      <w:jc w:val="left"/>
    </w:pPr>
    <w:rPr>
      <w:rFonts w:ascii="Arial" w:hAnsi="Arial" w:eastAsia="" w:cs="Arial" w:eastAsiaTheme="minorEastAsia"/>
      <w:color w:val="auto"/>
      <w:kern w:val="0"/>
      <w:sz w:val="20"/>
      <w:szCs w:val="20"/>
      <w:lang w:eastAsia="ru-RU" w:val="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D1693-31CA-450C-B925-B67AC594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Application>LibreOffice/24.2.4.2$Windows_X86_64 LibreOffice_project/51a6219feb6075d9a4c46691dcfe0cd9c4fff3c2</Application>
  <AppVersion>15.0000</AppVersion>
  <Pages>22</Pages>
  <Words>5681</Words>
  <Characters>41634</Characters>
  <CharactersWithSpaces>47137</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2017-12-01T11:10:00Z</dcterms:created>
  <dc:creator>Василий</dc:creator>
  <dc:description/>
  <dc:language>ru-RU</dc:language>
  <cp:lastModifiedBy/>
  <cp:lastPrinted>2018-08-06T11:54:00Z</cp:lastPrinted>
  <dcterms:modified xsi:type="dcterms:W3CDTF">2026-05-21T13:58:55Z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file>